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DD" w:rsidRPr="001233DD" w:rsidRDefault="001233DD" w:rsidP="001233DD">
      <w:pPr>
        <w:spacing w:after="0" w:line="240" w:lineRule="auto"/>
        <w:jc w:val="both"/>
        <w:rPr>
          <w:rFonts w:ascii="Times New Roman" w:eastAsia="Times New Roman" w:hAnsi="Times New Roman" w:cs="Times New Roman"/>
          <w:sz w:val="24"/>
          <w:szCs w:val="24"/>
          <w:lang w:eastAsia="it-IT"/>
        </w:rPr>
      </w:pPr>
      <w:bookmarkStart w:id="0" w:name="_GoBack"/>
      <w:bookmarkEnd w:id="0"/>
      <w:r w:rsidRPr="001233DD">
        <w:rPr>
          <w:rFonts w:ascii="Lato" w:eastAsia="Times New Roman" w:hAnsi="Lato" w:cs="Times New Roman"/>
          <w:b/>
          <w:bCs/>
          <w:sz w:val="23"/>
          <w:szCs w:val="23"/>
          <w:lang w:eastAsia="it-IT"/>
        </w:rPr>
        <w:t xml:space="preserve">Decreto legge 8 marzo 2020, n. 11, </w:t>
      </w:r>
      <w:r w:rsidRPr="001233DD">
        <w:rPr>
          <w:rFonts w:ascii="Lato" w:eastAsia="Times New Roman" w:hAnsi="Lato" w:cs="Times New Roman"/>
          <w:b/>
          <w:bCs/>
          <w:i/>
          <w:iCs/>
          <w:sz w:val="23"/>
          <w:szCs w:val="23"/>
          <w:lang w:eastAsia="it-IT"/>
        </w:rPr>
        <w:t>Misure straordinarie ed urgenti per contrastare l'emergenza epidemiologica da COVID-19 e contenere gli effetti negativi sullo svolgimento dell'attività giudiziaria</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 (in G.U. 8 marzo 2020, n. 60, Edizione straordinaria)</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 </w:t>
      </w:r>
    </w:p>
    <w:p w:rsidR="001233DD" w:rsidRPr="001233DD" w:rsidRDefault="001233DD" w:rsidP="001233DD">
      <w:pPr>
        <w:spacing w:before="180" w:after="0" w:line="240" w:lineRule="auto"/>
        <w:jc w:val="center"/>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IL PRESIDENTE DELLA REPUBBLICA</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 xml:space="preserve">Visti gli </w:t>
      </w:r>
      <w:r w:rsidRPr="001233DD">
        <w:rPr>
          <w:rFonts w:ascii="Lato" w:eastAsia="Times New Roman" w:hAnsi="Lato" w:cs="Times New Roman"/>
          <w:i/>
          <w:iCs/>
          <w:sz w:val="23"/>
          <w:szCs w:val="23"/>
          <w:lang w:eastAsia="it-IT"/>
        </w:rPr>
        <w:t>articoli 77</w:t>
      </w:r>
      <w:r w:rsidRPr="001233DD">
        <w:rPr>
          <w:rFonts w:ascii="Lato" w:eastAsia="Times New Roman" w:hAnsi="Lato" w:cs="Times New Roman"/>
          <w:sz w:val="23"/>
          <w:szCs w:val="23"/>
          <w:lang w:eastAsia="it-IT"/>
        </w:rPr>
        <w:t xml:space="preserve"> e </w:t>
      </w:r>
      <w:r w:rsidRPr="001233DD">
        <w:rPr>
          <w:rFonts w:ascii="Lato" w:eastAsia="Times New Roman" w:hAnsi="Lato" w:cs="Times New Roman"/>
          <w:i/>
          <w:iCs/>
          <w:sz w:val="23"/>
          <w:szCs w:val="23"/>
          <w:lang w:eastAsia="it-IT"/>
        </w:rPr>
        <w:t>87 della Costituzione</w:t>
      </w:r>
      <w:r w:rsidRPr="001233DD">
        <w:rPr>
          <w:rFonts w:ascii="Lato" w:eastAsia="Times New Roman" w:hAnsi="Lato" w:cs="Times New Roman"/>
          <w:sz w:val="23"/>
          <w:szCs w:val="23"/>
          <w:lang w:eastAsia="it-IT"/>
        </w:rPr>
        <w:t>;</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Visto l'</w:t>
      </w:r>
      <w:r w:rsidRPr="001233DD">
        <w:rPr>
          <w:rFonts w:ascii="Lato" w:eastAsia="Times New Roman" w:hAnsi="Lato" w:cs="Times New Roman"/>
          <w:i/>
          <w:iCs/>
          <w:sz w:val="23"/>
          <w:szCs w:val="23"/>
          <w:lang w:eastAsia="it-IT"/>
        </w:rPr>
        <w:t>articolo 10 del decreto-legge 2 marzo 2020, n. 9</w:t>
      </w:r>
      <w:r w:rsidRPr="001233DD">
        <w:rPr>
          <w:rFonts w:ascii="Lato" w:eastAsia="Times New Roman" w:hAnsi="Lato" w:cs="Times New Roman"/>
          <w:sz w:val="23"/>
          <w:szCs w:val="23"/>
          <w:lang w:eastAsia="it-IT"/>
        </w:rPr>
        <w:t>;</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Ritenuta la straordinaria necessità ed urgenza di emanare disposizioni per contrastare l'emergenza epidemiologica da COVID-19 e contenerne gli effetti negativi sullo svolgimento dell'attività giudiziaria e dell'attività connessa;</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Considerata la finalità di assicurare, mediante le predette misure urgenti, per quanto possibile, continuità ed efficienza del servizio giustizia;</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Vista la deliberazione del Consiglio dei ministri, adottata nella riunione del 6 marzo 2020;</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Sulla proposta del Presidente del Consiglio dei ministri e del Ministro della giustizia;</w:t>
      </w:r>
    </w:p>
    <w:p w:rsidR="001233DD" w:rsidRPr="001233DD" w:rsidRDefault="001233DD" w:rsidP="001233DD">
      <w:pPr>
        <w:spacing w:before="180" w:after="0" w:line="240" w:lineRule="auto"/>
        <w:jc w:val="center"/>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EMANA</w:t>
      </w:r>
    </w:p>
    <w:p w:rsidR="001233DD" w:rsidRPr="001233DD" w:rsidRDefault="001233DD" w:rsidP="001233DD">
      <w:pPr>
        <w:spacing w:before="180" w:after="0" w:line="240" w:lineRule="auto"/>
        <w:jc w:val="center"/>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il seguente decreto-legge</w:t>
      </w:r>
    </w:p>
    <w:p w:rsidR="001233DD" w:rsidRPr="001233DD" w:rsidRDefault="001233DD" w:rsidP="001233DD">
      <w:pPr>
        <w:spacing w:after="0" w:line="240" w:lineRule="auto"/>
        <w:rPr>
          <w:rFonts w:ascii="Times New Roman" w:eastAsia="Times New Roman" w:hAnsi="Times New Roman" w:cs="Times New Roman"/>
          <w:sz w:val="24"/>
          <w:szCs w:val="24"/>
          <w:lang w:eastAsia="it-IT"/>
        </w:rPr>
      </w:pP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b/>
          <w:bCs/>
          <w:sz w:val="23"/>
          <w:szCs w:val="23"/>
          <w:lang w:eastAsia="it-IT"/>
        </w:rPr>
        <w:t>Art. 1.</w:t>
      </w:r>
      <w:r w:rsidRPr="001233DD">
        <w:rPr>
          <w:rFonts w:ascii="Lato" w:eastAsia="Times New Roman" w:hAnsi="Lato" w:cs="Times New Roman"/>
          <w:sz w:val="23"/>
          <w:szCs w:val="23"/>
          <w:lang w:eastAsia="it-IT"/>
        </w:rPr>
        <w:t xml:space="preserve">  </w:t>
      </w:r>
      <w:r w:rsidRPr="001233DD">
        <w:rPr>
          <w:rFonts w:ascii="Lato" w:eastAsia="Times New Roman" w:hAnsi="Lato" w:cs="Times New Roman"/>
          <w:i/>
          <w:iCs/>
          <w:sz w:val="23"/>
          <w:szCs w:val="23"/>
          <w:lang w:eastAsia="it-IT"/>
        </w:rPr>
        <w:t>Differimento urgente delle udienze e sospensione dei termini nei procedimenti civili, penali, tributari e militari</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1.  A decorrere dal giorno successivo alla data di entrata in vigore del presente decreto e sino al 22 marzo 2020 le udienze dei procedimenti civili e penali pendenti presso tutti gli uffici giudiziari, con le eccezioni indicate all'articolo 2, comma 2, lettera g), sono rinviate d'ufficio a data successiva al 22 marzo 2020.</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2.  A decorrere dal giorno successivo alla data di entrata in vigore del presente decreto e sino al 22 marzo 2020 sono sospesi i termini per il compimento di qualsiasi atto dei procedimenti indicati al comma 1, ferme le eccezioni richiamate. Ove il decorso abbia inizio durante il periodo di sospensione, l'inizio stesso è differito alla fine di detto periodo.</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3.  Ai procedimenti nei quali le udienze sono rinviate a norma del comma 1, si applicano le disposizioni di cui all'articolo 2, commi 4 e 5. Resta ferma l'applicazione delle disposizioni di cui all'</w:t>
      </w:r>
      <w:r w:rsidRPr="001233DD">
        <w:rPr>
          <w:rFonts w:ascii="Lato" w:eastAsia="Times New Roman" w:hAnsi="Lato" w:cs="Times New Roman"/>
          <w:i/>
          <w:iCs/>
          <w:sz w:val="23"/>
          <w:szCs w:val="23"/>
          <w:lang w:eastAsia="it-IT"/>
        </w:rPr>
        <w:t>articolo 10 del decreto-legge 2 marzo 2020, n. 9</w:t>
      </w:r>
      <w:r w:rsidRPr="001233DD">
        <w:rPr>
          <w:rFonts w:ascii="Lato" w:eastAsia="Times New Roman" w:hAnsi="Lato" w:cs="Times New Roman"/>
          <w:sz w:val="23"/>
          <w:szCs w:val="23"/>
          <w:lang w:eastAsia="it-IT"/>
        </w:rPr>
        <w:t>.</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4.  Le disposizioni del presente articolo, in quanto compatibili, si applicano altresì ai procedimenti relativi alle commissioni tributarie e alla magistratura militare.</w:t>
      </w:r>
    </w:p>
    <w:p w:rsidR="001233DD" w:rsidRPr="001233DD" w:rsidRDefault="001233DD" w:rsidP="001233DD">
      <w:pPr>
        <w:spacing w:after="0" w:line="240" w:lineRule="auto"/>
        <w:rPr>
          <w:rFonts w:ascii="Times New Roman" w:eastAsia="Times New Roman" w:hAnsi="Times New Roman" w:cs="Times New Roman"/>
          <w:sz w:val="24"/>
          <w:szCs w:val="24"/>
          <w:lang w:eastAsia="it-IT"/>
        </w:rPr>
      </w:pP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b/>
          <w:bCs/>
          <w:sz w:val="23"/>
          <w:szCs w:val="23"/>
          <w:lang w:eastAsia="it-IT"/>
        </w:rPr>
        <w:t>Art. 2.</w:t>
      </w:r>
      <w:r w:rsidRPr="001233DD">
        <w:rPr>
          <w:rFonts w:ascii="Lato" w:eastAsia="Times New Roman" w:hAnsi="Lato" w:cs="Times New Roman"/>
          <w:sz w:val="23"/>
          <w:szCs w:val="23"/>
          <w:lang w:eastAsia="it-IT"/>
        </w:rPr>
        <w:t xml:space="preserve">  </w:t>
      </w:r>
      <w:r w:rsidRPr="001233DD">
        <w:rPr>
          <w:rFonts w:ascii="Lato" w:eastAsia="Times New Roman" w:hAnsi="Lato" w:cs="Times New Roman"/>
          <w:i/>
          <w:iCs/>
          <w:sz w:val="23"/>
          <w:szCs w:val="23"/>
          <w:lang w:eastAsia="it-IT"/>
        </w:rPr>
        <w:t>Misure urgenti per contrastare l'emergenza epidemiologica da COVID-19 e contenerne gli effetti in materia di giustizia</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 xml:space="preserve">1.  Ferma l'applicazione delle previsioni di cui al </w:t>
      </w:r>
      <w:r w:rsidRPr="001233DD">
        <w:rPr>
          <w:rFonts w:ascii="Lato" w:eastAsia="Times New Roman" w:hAnsi="Lato" w:cs="Times New Roman"/>
          <w:i/>
          <w:iCs/>
          <w:sz w:val="23"/>
          <w:szCs w:val="23"/>
          <w:lang w:eastAsia="it-IT"/>
        </w:rPr>
        <w:t>decreto-legge 2 marzo 2020 n. 9</w:t>
      </w:r>
      <w:r w:rsidRPr="001233DD">
        <w:rPr>
          <w:rFonts w:ascii="Lato" w:eastAsia="Times New Roman" w:hAnsi="Lato" w:cs="Times New Roman"/>
          <w:sz w:val="23"/>
          <w:szCs w:val="23"/>
          <w:lang w:eastAsia="it-IT"/>
        </w:rPr>
        <w:t xml:space="preserve">, per contrastare l'emergenza epidemiologica da COVID-19 e contenerne gli effetti negativi sullo svolgimento dell'attività giudiziaria, a decorrere dal 23 marzo e fino al 31 maggio 2020 i capi degli uffici giudiziari, sentiti l'autorità sanitaria regionale, per il tramite del Presidente della Giunta della Regione, e il Consiglio dell'ordine degli avvocati, adottano le misure organizzative, anche relative alla trattazione degli affari giudiziari, necessarie per consentire il rispetto delle indicazioni igienico-sanitarie fornite dal </w:t>
      </w:r>
      <w:r w:rsidRPr="001233DD">
        <w:rPr>
          <w:rFonts w:ascii="Lato" w:eastAsia="Times New Roman" w:hAnsi="Lato" w:cs="Times New Roman"/>
          <w:sz w:val="23"/>
          <w:szCs w:val="23"/>
          <w:lang w:eastAsia="it-IT"/>
        </w:rPr>
        <w:lastRenderedPageBreak/>
        <w:t>Ministero della salute, anche d'intesa con le Regioni, dal Dipartimento della funzione pubblica della Presidenza del Consiglio dei ministri, dal Ministero della giustizia e delle prescrizioni di cui all'</w:t>
      </w:r>
      <w:r w:rsidRPr="001233DD">
        <w:rPr>
          <w:rFonts w:ascii="Lato" w:eastAsia="Times New Roman" w:hAnsi="Lato" w:cs="Times New Roman"/>
          <w:i/>
          <w:iCs/>
          <w:sz w:val="23"/>
          <w:szCs w:val="23"/>
          <w:lang w:eastAsia="it-IT"/>
        </w:rPr>
        <w:t>allegato 1 al decreto del Presidente del Consiglio dei ministri 8 marzo 2020</w:t>
      </w:r>
      <w:r w:rsidRPr="001233DD">
        <w:rPr>
          <w:rFonts w:ascii="Lato" w:eastAsia="Times New Roman" w:hAnsi="Lato" w:cs="Times New Roman"/>
          <w:sz w:val="23"/>
          <w:szCs w:val="23"/>
          <w:lang w:eastAsia="it-IT"/>
        </w:rPr>
        <w:t>, al fine di evitare assembramenti all'interno dell'ufficio giudiziario e contatti ravvicinati tra le persone. Per gli uffici diversi dalla Corte suprema di cassazione e dalla Procura generale presso la Corte di cassazione, le misure sono adottate d'intesa con il Presidente della Corte d'appello e con il Procuratore generale della Repubblica presso la Corte d'appello dei rispettivi distretti.</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2.  Per assicurare le finalità di cui al comma 1, i capi degli uffici giudiziari possono adottare le seguenti misure:</w:t>
      </w:r>
    </w:p>
    <w:p w:rsidR="001233DD" w:rsidRPr="001233DD" w:rsidRDefault="001233DD" w:rsidP="001233DD">
      <w:pPr>
        <w:spacing w:before="180" w:after="0" w:line="240" w:lineRule="auto"/>
        <w:ind w:firstLine="400"/>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a)  la limitazione dell'accesso del pubblico agli uffici giudiziari, garantendo comunque l'accesso alle persone che debbono svolgervi attività urgenti;</w:t>
      </w:r>
    </w:p>
    <w:p w:rsidR="001233DD" w:rsidRPr="001233DD" w:rsidRDefault="001233DD" w:rsidP="001233DD">
      <w:pPr>
        <w:spacing w:before="180" w:after="0" w:line="240" w:lineRule="auto"/>
        <w:ind w:firstLine="400"/>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b)  la limitazione, sentito il dirigente amministrativo, dell'orario di apertura al pubblico degli uffici anche in deroga a quanto disposto dall'</w:t>
      </w:r>
      <w:r w:rsidRPr="001233DD">
        <w:rPr>
          <w:rFonts w:ascii="Lato" w:eastAsia="Times New Roman" w:hAnsi="Lato" w:cs="Times New Roman"/>
          <w:i/>
          <w:iCs/>
          <w:sz w:val="23"/>
          <w:szCs w:val="23"/>
          <w:lang w:eastAsia="it-IT"/>
        </w:rPr>
        <w:t>articolo 162 della legge 23 ottobre 1960, n. 1196</w:t>
      </w:r>
      <w:r w:rsidRPr="001233DD">
        <w:rPr>
          <w:rFonts w:ascii="Lato" w:eastAsia="Times New Roman" w:hAnsi="Lato" w:cs="Times New Roman"/>
          <w:sz w:val="23"/>
          <w:szCs w:val="23"/>
          <w:lang w:eastAsia="it-IT"/>
        </w:rPr>
        <w:t>, ovvero, in via residuale e solo per gli uffici che non erogano servizi urgenti, la chiusura al pubblico;</w:t>
      </w:r>
    </w:p>
    <w:p w:rsidR="001233DD" w:rsidRPr="001233DD" w:rsidRDefault="001233DD" w:rsidP="001233DD">
      <w:pPr>
        <w:spacing w:before="180" w:after="0" w:line="240" w:lineRule="auto"/>
        <w:ind w:firstLine="400"/>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c)  la regolamentazione dell'accesso ai servizi, previa prenotazione, anche tramite mezzi di comunicazione telefonica o telematica, curando che la convocazione degli utenti sia scaglionata per orari fissi, nonché l'adozione di ogni misura ritenuta necessaria per evitare forme di assembramento;</w:t>
      </w:r>
    </w:p>
    <w:p w:rsidR="001233DD" w:rsidRPr="001233DD" w:rsidRDefault="001233DD" w:rsidP="001233DD">
      <w:pPr>
        <w:spacing w:before="180" w:after="0" w:line="240" w:lineRule="auto"/>
        <w:ind w:firstLine="400"/>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d)  l'adozione di linee guida vincolanti per la fissazione e la trattazione delle udienze;</w:t>
      </w:r>
    </w:p>
    <w:p w:rsidR="001233DD" w:rsidRPr="001233DD" w:rsidRDefault="001233DD" w:rsidP="001233DD">
      <w:pPr>
        <w:spacing w:before="180" w:after="0" w:line="240" w:lineRule="auto"/>
        <w:ind w:firstLine="400"/>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e)  la celebrazione a porte chiuse, ai sensi dell'</w:t>
      </w:r>
      <w:r w:rsidRPr="001233DD">
        <w:rPr>
          <w:rFonts w:ascii="Lato" w:eastAsia="Times New Roman" w:hAnsi="Lato" w:cs="Times New Roman"/>
          <w:i/>
          <w:iCs/>
          <w:sz w:val="23"/>
          <w:szCs w:val="23"/>
          <w:lang w:eastAsia="it-IT"/>
        </w:rPr>
        <w:t>articolo 472, comma 3, del codice di procedura penale</w:t>
      </w:r>
      <w:r w:rsidRPr="001233DD">
        <w:rPr>
          <w:rFonts w:ascii="Lato" w:eastAsia="Times New Roman" w:hAnsi="Lato" w:cs="Times New Roman"/>
          <w:sz w:val="23"/>
          <w:szCs w:val="23"/>
          <w:lang w:eastAsia="it-IT"/>
        </w:rPr>
        <w:t>, di tutte le udienze penali pubbliche o di singole udienze e, ai sensi dell'</w:t>
      </w:r>
      <w:r w:rsidRPr="001233DD">
        <w:rPr>
          <w:rFonts w:ascii="Lato" w:eastAsia="Times New Roman" w:hAnsi="Lato" w:cs="Times New Roman"/>
          <w:i/>
          <w:iCs/>
          <w:sz w:val="23"/>
          <w:szCs w:val="23"/>
          <w:lang w:eastAsia="it-IT"/>
        </w:rPr>
        <w:t>articolo 128 del codice di procedura civile</w:t>
      </w:r>
      <w:r w:rsidRPr="001233DD">
        <w:rPr>
          <w:rFonts w:ascii="Lato" w:eastAsia="Times New Roman" w:hAnsi="Lato" w:cs="Times New Roman"/>
          <w:sz w:val="23"/>
          <w:szCs w:val="23"/>
          <w:lang w:eastAsia="it-IT"/>
        </w:rPr>
        <w:t>, delle udienze civili pubbliche;</w:t>
      </w:r>
    </w:p>
    <w:p w:rsidR="001233DD" w:rsidRPr="001233DD" w:rsidRDefault="001233DD" w:rsidP="001233DD">
      <w:pPr>
        <w:spacing w:before="180" w:after="0" w:line="240" w:lineRule="auto"/>
        <w:ind w:firstLine="400"/>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f)  la previsione dello svolgimento delle udienze civili che non richiedono la presenza di soggetti diversi dai difensori e dalle parti mediante collegamenti da remoto individuati e regolati con provvedimento del Direttore generale dei sistemi informativi e automatizzati del Ministero della giustizia. Lo svolgimento dell'udienza deve in ogni caso avvenire con modalità idonee a salvaguardare il contraddittorio e l'effettiva partecipazione delle parti. Prima dell'udienza il giudice fa comunicare ai procuratori delle parti ed al pubblico ministero, se è prevista la sua partecipazione, giorno, ora e modalità di collegamento. All'udienza il giudice dà atto a verbale delle modalità con cui si accerta dell'identità dei soggetti partecipanti e, ove trattasi di parti, della loro libera volontà. Di tutte le ulteriori operazioni è dato atto nel processo verbale;</w:t>
      </w:r>
    </w:p>
    <w:p w:rsidR="001233DD" w:rsidRPr="001233DD" w:rsidRDefault="001233DD" w:rsidP="001233DD">
      <w:pPr>
        <w:spacing w:before="180" w:after="0" w:line="240" w:lineRule="auto"/>
        <w:ind w:firstLine="400"/>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g)  la previsione del rinvio delle udienze a data successiva al 31 maggio 2020 nei procedimenti civili e penali, con le seguenti eccezioni:</w:t>
      </w:r>
    </w:p>
    <w:p w:rsidR="001233DD" w:rsidRPr="001233DD" w:rsidRDefault="001233DD" w:rsidP="001233DD">
      <w:pPr>
        <w:spacing w:before="180" w:after="0" w:line="240" w:lineRule="auto"/>
        <w:ind w:firstLine="600"/>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1)  udienze nelle cause di competenza del tribunale per i minorenni relative alle dichiarazioni di adottabilità, ai minori stranieri non accompagnati, ai minori allontanati dalla famiglia ed alle situazioni di grave pregiudizio; nelle cause relative ad alimenti o ad obbligazioni alimentari derivanti da rapporti di famiglia, di parentela, di matrimonio o di affinità; nei procedimenti cautelari aventi ad oggetto la tutela di diritti fondamentali della persona; nei procedimenti per l'adozione di provvedimenti in materia di tutela, di amministrazione di sostegno, di interdizione, di inabilitazione nei soli casi in cui viene dedotta una motivata situazione di indifferibilità incompatibile anche con l'adozione di provvedimenti provvisori, e sempre che l'esame diretto della persona del beneficiario, dell'interdicendo e dell'inabilitando non risulti incompatibile con le sue condizioni di età e salute; nei procedimenti di cui all'</w:t>
      </w:r>
      <w:r w:rsidRPr="001233DD">
        <w:rPr>
          <w:rFonts w:ascii="Lato" w:eastAsia="Times New Roman" w:hAnsi="Lato" w:cs="Times New Roman"/>
          <w:i/>
          <w:iCs/>
          <w:sz w:val="23"/>
          <w:szCs w:val="23"/>
          <w:lang w:eastAsia="it-IT"/>
        </w:rPr>
        <w:t>articolo 35 della legge 23 dicembre 1978, n. 833</w:t>
      </w:r>
      <w:r w:rsidRPr="001233DD">
        <w:rPr>
          <w:rFonts w:ascii="Lato" w:eastAsia="Times New Roman" w:hAnsi="Lato" w:cs="Times New Roman"/>
          <w:sz w:val="23"/>
          <w:szCs w:val="23"/>
          <w:lang w:eastAsia="it-IT"/>
        </w:rPr>
        <w:t>; nei procedimenti di cui all'</w:t>
      </w:r>
      <w:r w:rsidRPr="001233DD">
        <w:rPr>
          <w:rFonts w:ascii="Lato" w:eastAsia="Times New Roman" w:hAnsi="Lato" w:cs="Times New Roman"/>
          <w:i/>
          <w:iCs/>
          <w:sz w:val="23"/>
          <w:szCs w:val="23"/>
          <w:lang w:eastAsia="it-IT"/>
        </w:rPr>
        <w:t>articolo 12 della legge 22 maggio 1978, n. 194</w:t>
      </w:r>
      <w:r w:rsidRPr="001233DD">
        <w:rPr>
          <w:rFonts w:ascii="Lato" w:eastAsia="Times New Roman" w:hAnsi="Lato" w:cs="Times New Roman"/>
          <w:sz w:val="23"/>
          <w:szCs w:val="23"/>
          <w:lang w:eastAsia="it-IT"/>
        </w:rPr>
        <w:t>; nei procedimenti per l'adozione di ordini di protezione contro gli abusi familiari; nei procedimenti di convalida dell'espulsione, allontanamento e trattenimento di cittadini di paesi terzi e dell'Unione europea; nei procedimenti di cui all'</w:t>
      </w:r>
      <w:r w:rsidRPr="001233DD">
        <w:rPr>
          <w:rFonts w:ascii="Lato" w:eastAsia="Times New Roman" w:hAnsi="Lato" w:cs="Times New Roman"/>
          <w:i/>
          <w:iCs/>
          <w:sz w:val="23"/>
          <w:szCs w:val="23"/>
          <w:lang w:eastAsia="it-IT"/>
        </w:rPr>
        <w:t>articolo 283</w:t>
      </w:r>
      <w:r w:rsidRPr="001233DD">
        <w:rPr>
          <w:rFonts w:ascii="Lato" w:eastAsia="Times New Roman" w:hAnsi="Lato" w:cs="Times New Roman"/>
          <w:sz w:val="23"/>
          <w:szCs w:val="23"/>
          <w:lang w:eastAsia="it-IT"/>
        </w:rPr>
        <w:t xml:space="preserve">, </w:t>
      </w:r>
      <w:r w:rsidRPr="001233DD">
        <w:rPr>
          <w:rFonts w:ascii="Lato" w:eastAsia="Times New Roman" w:hAnsi="Lato" w:cs="Times New Roman"/>
          <w:i/>
          <w:iCs/>
          <w:sz w:val="23"/>
          <w:szCs w:val="23"/>
          <w:lang w:eastAsia="it-IT"/>
        </w:rPr>
        <w:t>351</w:t>
      </w:r>
      <w:r w:rsidRPr="001233DD">
        <w:rPr>
          <w:rFonts w:ascii="Lato" w:eastAsia="Times New Roman" w:hAnsi="Lato" w:cs="Times New Roman"/>
          <w:sz w:val="23"/>
          <w:szCs w:val="23"/>
          <w:lang w:eastAsia="it-IT"/>
        </w:rPr>
        <w:t xml:space="preserve"> e </w:t>
      </w:r>
      <w:r w:rsidRPr="001233DD">
        <w:rPr>
          <w:rFonts w:ascii="Lato" w:eastAsia="Times New Roman" w:hAnsi="Lato" w:cs="Times New Roman"/>
          <w:i/>
          <w:iCs/>
          <w:sz w:val="23"/>
          <w:szCs w:val="23"/>
          <w:lang w:eastAsia="it-IT"/>
        </w:rPr>
        <w:t>373 del codice di procedura civile</w:t>
      </w:r>
      <w:r w:rsidRPr="001233DD">
        <w:rPr>
          <w:rFonts w:ascii="Lato" w:eastAsia="Times New Roman" w:hAnsi="Lato" w:cs="Times New Roman"/>
          <w:sz w:val="23"/>
          <w:szCs w:val="23"/>
          <w:lang w:eastAsia="it-IT"/>
        </w:rPr>
        <w:t xml:space="preserve"> e, in genere, in tutti i procedimenti la cui ritardata trattazione può produrre grave pregiudizio alle parti. In quest'ultimo caso, la dichiarazione di urgenza è fatta dal capo dell'ufficio </w:t>
      </w:r>
      <w:r w:rsidRPr="001233DD">
        <w:rPr>
          <w:rFonts w:ascii="Lato" w:eastAsia="Times New Roman" w:hAnsi="Lato" w:cs="Times New Roman"/>
          <w:sz w:val="23"/>
          <w:szCs w:val="23"/>
          <w:lang w:eastAsia="it-IT"/>
        </w:rPr>
        <w:lastRenderedPageBreak/>
        <w:t>giudiziario o dal suo delegato in calce alla citazione o al ricorso, con decreto non impugnabile e, per le cause già iniziate, con provvedimento del giudice istruttore o del presidente del collegio, egualmente non impugnabile;</w:t>
      </w:r>
    </w:p>
    <w:p w:rsidR="001233DD" w:rsidRPr="001233DD" w:rsidRDefault="001233DD" w:rsidP="001233DD">
      <w:pPr>
        <w:spacing w:before="180" w:after="0" w:line="240" w:lineRule="auto"/>
        <w:ind w:firstLine="600"/>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2)  udienze di convalida dell'arresto o del fermo, udienze dei procedimenti nei quali nel periodo di sospensione scadono i termini di cui all'</w:t>
      </w:r>
      <w:r w:rsidRPr="001233DD">
        <w:rPr>
          <w:rFonts w:ascii="Lato" w:eastAsia="Times New Roman" w:hAnsi="Lato" w:cs="Times New Roman"/>
          <w:i/>
          <w:iCs/>
          <w:sz w:val="23"/>
          <w:szCs w:val="23"/>
          <w:lang w:eastAsia="it-IT"/>
        </w:rPr>
        <w:t>articolo 304 del codice di procedura penale</w:t>
      </w:r>
      <w:r w:rsidRPr="001233DD">
        <w:rPr>
          <w:rFonts w:ascii="Lato" w:eastAsia="Times New Roman" w:hAnsi="Lato" w:cs="Times New Roman"/>
          <w:sz w:val="23"/>
          <w:szCs w:val="23"/>
          <w:lang w:eastAsia="it-IT"/>
        </w:rPr>
        <w:t>, udienze nei procedimenti in cui sono state richieste o applicate misure di sicurezza detentive e, quando i detenuti, gli imputati, i proposti o i loro difensori espressamente richiedono che si proceda, altresì le seguenti:</w:t>
      </w:r>
    </w:p>
    <w:p w:rsidR="001233DD" w:rsidRPr="001233DD" w:rsidRDefault="001233DD" w:rsidP="001233DD">
      <w:pPr>
        <w:spacing w:before="180" w:after="0" w:line="240" w:lineRule="auto"/>
        <w:ind w:firstLine="800"/>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a)  udienze nei procedimenti a carico di persone detenute, salvo i casi di sospensione cautelativa delle misure alternative, ai sensi dell'</w:t>
      </w:r>
      <w:r w:rsidRPr="001233DD">
        <w:rPr>
          <w:rFonts w:ascii="Lato" w:eastAsia="Times New Roman" w:hAnsi="Lato" w:cs="Times New Roman"/>
          <w:i/>
          <w:iCs/>
          <w:sz w:val="23"/>
          <w:szCs w:val="23"/>
          <w:lang w:eastAsia="it-IT"/>
        </w:rPr>
        <w:t>articolo 51-ter della legge 26 luglio 1975, n. 354</w:t>
      </w:r>
      <w:r w:rsidRPr="001233DD">
        <w:rPr>
          <w:rFonts w:ascii="Lato" w:eastAsia="Times New Roman" w:hAnsi="Lato" w:cs="Times New Roman"/>
          <w:sz w:val="23"/>
          <w:szCs w:val="23"/>
          <w:lang w:eastAsia="it-IT"/>
        </w:rPr>
        <w:t>;</w:t>
      </w:r>
    </w:p>
    <w:p w:rsidR="001233DD" w:rsidRPr="001233DD" w:rsidRDefault="001233DD" w:rsidP="001233DD">
      <w:pPr>
        <w:spacing w:before="180" w:after="0" w:line="240" w:lineRule="auto"/>
        <w:ind w:firstLine="800"/>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b)  udienze nei procedimenti in cui sono state applicate misure cautelari o di sicurezza;</w:t>
      </w:r>
    </w:p>
    <w:p w:rsidR="001233DD" w:rsidRPr="001233DD" w:rsidRDefault="001233DD" w:rsidP="001233DD">
      <w:pPr>
        <w:spacing w:before="180" w:after="0" w:line="240" w:lineRule="auto"/>
        <w:ind w:firstLine="800"/>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c)  udienze nei procedimenti per l'applicazione di misure di prevenzione o nei quali sono state disposte misure di prevenzione;</w:t>
      </w:r>
    </w:p>
    <w:p w:rsidR="001233DD" w:rsidRPr="001233DD" w:rsidRDefault="001233DD" w:rsidP="001233DD">
      <w:pPr>
        <w:spacing w:before="180" w:after="0" w:line="240" w:lineRule="auto"/>
        <w:ind w:firstLine="400"/>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d)  udienze nei procedimenti a carico di imputati minorenni;</w:t>
      </w:r>
    </w:p>
    <w:p w:rsidR="001233DD" w:rsidRPr="001233DD" w:rsidRDefault="001233DD" w:rsidP="001233DD">
      <w:pPr>
        <w:spacing w:before="180" w:after="0" w:line="240" w:lineRule="auto"/>
        <w:ind w:firstLine="800"/>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3)  udienze nei procedimenti che presentano carattere di urgenza, per la necessità di assumere prove indifferibili, nei casi di cui all'</w:t>
      </w:r>
      <w:r w:rsidRPr="001233DD">
        <w:rPr>
          <w:rFonts w:ascii="Lato" w:eastAsia="Times New Roman" w:hAnsi="Lato" w:cs="Times New Roman"/>
          <w:i/>
          <w:iCs/>
          <w:sz w:val="23"/>
          <w:szCs w:val="23"/>
          <w:lang w:eastAsia="it-IT"/>
        </w:rPr>
        <w:t>articolo 392 del codice di procedura penale</w:t>
      </w:r>
      <w:r w:rsidRPr="001233DD">
        <w:rPr>
          <w:rFonts w:ascii="Lato" w:eastAsia="Times New Roman" w:hAnsi="Lato" w:cs="Times New Roman"/>
          <w:sz w:val="23"/>
          <w:szCs w:val="23"/>
          <w:lang w:eastAsia="it-IT"/>
        </w:rPr>
        <w:t>. La dichiarazione di urgenza è fatta dal giudice o dal presidente del collegio, su richiesta di parte, con provvedimento motivato e non impugnabile.</w:t>
      </w:r>
    </w:p>
    <w:p w:rsidR="001233DD" w:rsidRPr="001233DD" w:rsidRDefault="001233DD" w:rsidP="001233DD">
      <w:pPr>
        <w:spacing w:before="180" w:after="0" w:line="240" w:lineRule="auto"/>
        <w:ind w:firstLine="800"/>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h)  lo svolgimento delle udienze civili che non richiedono la presenza di soggetti diversi dai difensori delle parti mediante lo scambio e il deposito in telematico di note scritte contenenti le sole istanze e conclusioni, e la successiva adozione fuori udienza del provvedimento del giudice.</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3.  Per il periodo di efficacia dei provvedimenti di cui al comma 2 che precludano la presentazione della domanda giudiziale è sospesa la decorrenza dei termini di prescrizione e decadenza dei diritti che possono essere esercitati esclusivamente mediante il compimento delle attività precluse dai provvedimenti medesimi.</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 xml:space="preserve">4.  Nei procedimenti penali il corso della prescrizione e i termini di cui agli </w:t>
      </w:r>
      <w:r w:rsidRPr="001233DD">
        <w:rPr>
          <w:rFonts w:ascii="Lato" w:eastAsia="Times New Roman" w:hAnsi="Lato" w:cs="Times New Roman"/>
          <w:i/>
          <w:iCs/>
          <w:sz w:val="23"/>
          <w:szCs w:val="23"/>
          <w:lang w:eastAsia="it-IT"/>
        </w:rPr>
        <w:t>articoli 303</w:t>
      </w:r>
      <w:r w:rsidRPr="001233DD">
        <w:rPr>
          <w:rFonts w:ascii="Lato" w:eastAsia="Times New Roman" w:hAnsi="Lato" w:cs="Times New Roman"/>
          <w:sz w:val="23"/>
          <w:szCs w:val="23"/>
          <w:lang w:eastAsia="it-IT"/>
        </w:rPr>
        <w:t xml:space="preserve">, </w:t>
      </w:r>
      <w:r w:rsidRPr="001233DD">
        <w:rPr>
          <w:rFonts w:ascii="Lato" w:eastAsia="Times New Roman" w:hAnsi="Lato" w:cs="Times New Roman"/>
          <w:i/>
          <w:iCs/>
          <w:sz w:val="23"/>
          <w:szCs w:val="23"/>
          <w:lang w:eastAsia="it-IT"/>
        </w:rPr>
        <w:t>309</w:t>
      </w:r>
      <w:r w:rsidRPr="001233DD">
        <w:rPr>
          <w:rFonts w:ascii="Lato" w:eastAsia="Times New Roman" w:hAnsi="Lato" w:cs="Times New Roman"/>
          <w:sz w:val="23"/>
          <w:szCs w:val="23"/>
          <w:lang w:eastAsia="it-IT"/>
        </w:rPr>
        <w:t xml:space="preserve">, comma 9, </w:t>
      </w:r>
      <w:r w:rsidRPr="001233DD">
        <w:rPr>
          <w:rFonts w:ascii="Lato" w:eastAsia="Times New Roman" w:hAnsi="Lato" w:cs="Times New Roman"/>
          <w:i/>
          <w:iCs/>
          <w:sz w:val="23"/>
          <w:szCs w:val="23"/>
          <w:lang w:eastAsia="it-IT"/>
        </w:rPr>
        <w:t>311</w:t>
      </w:r>
      <w:r w:rsidRPr="001233DD">
        <w:rPr>
          <w:rFonts w:ascii="Lato" w:eastAsia="Times New Roman" w:hAnsi="Lato" w:cs="Times New Roman"/>
          <w:sz w:val="23"/>
          <w:szCs w:val="23"/>
          <w:lang w:eastAsia="it-IT"/>
        </w:rPr>
        <w:t xml:space="preserve">, commi 5 e 5-bis, e </w:t>
      </w:r>
      <w:r w:rsidRPr="001233DD">
        <w:rPr>
          <w:rFonts w:ascii="Lato" w:eastAsia="Times New Roman" w:hAnsi="Lato" w:cs="Times New Roman"/>
          <w:i/>
          <w:iCs/>
          <w:sz w:val="23"/>
          <w:szCs w:val="23"/>
          <w:lang w:eastAsia="it-IT"/>
        </w:rPr>
        <w:t>324, comma 7, del codice di procedura penale</w:t>
      </w:r>
      <w:r w:rsidRPr="001233DD">
        <w:rPr>
          <w:rFonts w:ascii="Lato" w:eastAsia="Times New Roman" w:hAnsi="Lato" w:cs="Times New Roman"/>
          <w:sz w:val="23"/>
          <w:szCs w:val="23"/>
          <w:lang w:eastAsia="it-IT"/>
        </w:rPr>
        <w:t xml:space="preserve"> e agli </w:t>
      </w:r>
      <w:r w:rsidRPr="001233DD">
        <w:rPr>
          <w:rFonts w:ascii="Lato" w:eastAsia="Times New Roman" w:hAnsi="Lato" w:cs="Times New Roman"/>
          <w:i/>
          <w:iCs/>
          <w:sz w:val="23"/>
          <w:szCs w:val="23"/>
          <w:lang w:eastAsia="it-IT"/>
        </w:rPr>
        <w:t>articoli 24</w:t>
      </w:r>
      <w:r w:rsidRPr="001233DD">
        <w:rPr>
          <w:rFonts w:ascii="Lato" w:eastAsia="Times New Roman" w:hAnsi="Lato" w:cs="Times New Roman"/>
          <w:sz w:val="23"/>
          <w:szCs w:val="23"/>
          <w:lang w:eastAsia="it-IT"/>
        </w:rPr>
        <w:t xml:space="preserve">, comma 2, e </w:t>
      </w:r>
      <w:r w:rsidRPr="001233DD">
        <w:rPr>
          <w:rFonts w:ascii="Lato" w:eastAsia="Times New Roman" w:hAnsi="Lato" w:cs="Times New Roman"/>
          <w:i/>
          <w:iCs/>
          <w:sz w:val="23"/>
          <w:szCs w:val="23"/>
          <w:lang w:eastAsia="it-IT"/>
        </w:rPr>
        <w:t>27, comma 6, del decreto legislativo 6 settembre 2011, n. 159</w:t>
      </w:r>
      <w:r w:rsidRPr="001233DD">
        <w:rPr>
          <w:rFonts w:ascii="Lato" w:eastAsia="Times New Roman" w:hAnsi="Lato" w:cs="Times New Roman"/>
          <w:sz w:val="23"/>
          <w:szCs w:val="23"/>
          <w:lang w:eastAsia="it-IT"/>
        </w:rPr>
        <w:t xml:space="preserve"> rimangono sospesi per il tempo in cui il procedimento è rinviato ai sensi del comma 2, lettera g), e, in ogni caso, non oltre il 31 maggio 2020.</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5.  Ai fini del computo di cui all'</w:t>
      </w:r>
      <w:r w:rsidRPr="001233DD">
        <w:rPr>
          <w:rFonts w:ascii="Lato" w:eastAsia="Times New Roman" w:hAnsi="Lato" w:cs="Times New Roman"/>
          <w:i/>
          <w:iCs/>
          <w:sz w:val="23"/>
          <w:szCs w:val="23"/>
          <w:lang w:eastAsia="it-IT"/>
        </w:rPr>
        <w:t>articolo 2 della legge 24 marzo 2001, n. 89</w:t>
      </w:r>
      <w:r w:rsidRPr="001233DD">
        <w:rPr>
          <w:rFonts w:ascii="Lato" w:eastAsia="Times New Roman" w:hAnsi="Lato" w:cs="Times New Roman"/>
          <w:sz w:val="23"/>
          <w:szCs w:val="23"/>
          <w:lang w:eastAsia="it-IT"/>
        </w:rPr>
        <w:t>, nei procedimenti nei quali le udienze sono rinviate a norma del presente articolo non si tiene conto del periodo decorrente dalla data del provvedimento di rinvio dell'udienza alla data della nuova udienza, sino al limite massimo di tre mesi successivi al 31 maggio 2020.</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6.  Dalla data di entrata in vigore del presente decreto e fino al 31 maggio 2020, negli uffici che hanno la disponibilità del servizio di deposito telematico anche gli atti e documenti di cui all'</w:t>
      </w:r>
      <w:r w:rsidRPr="001233DD">
        <w:rPr>
          <w:rFonts w:ascii="Lato" w:eastAsia="Times New Roman" w:hAnsi="Lato" w:cs="Times New Roman"/>
          <w:i/>
          <w:iCs/>
          <w:sz w:val="23"/>
          <w:szCs w:val="23"/>
          <w:lang w:eastAsia="it-IT"/>
        </w:rPr>
        <w:t>articolo 16-bis, comma 1-bis, del decreto-legge 18 ottobre 2012, n. 179</w:t>
      </w:r>
      <w:r w:rsidRPr="001233DD">
        <w:rPr>
          <w:rFonts w:ascii="Lato" w:eastAsia="Times New Roman" w:hAnsi="Lato" w:cs="Times New Roman"/>
          <w:sz w:val="23"/>
          <w:szCs w:val="23"/>
          <w:lang w:eastAsia="it-IT"/>
        </w:rPr>
        <w:t xml:space="preserve">, convertito dalla </w:t>
      </w:r>
      <w:r w:rsidRPr="001233DD">
        <w:rPr>
          <w:rFonts w:ascii="Lato" w:eastAsia="Times New Roman" w:hAnsi="Lato" w:cs="Times New Roman"/>
          <w:i/>
          <w:iCs/>
          <w:sz w:val="23"/>
          <w:szCs w:val="23"/>
          <w:lang w:eastAsia="it-IT"/>
        </w:rPr>
        <w:t>legge 17 dicembre 2012, n. 221</w:t>
      </w:r>
      <w:r w:rsidRPr="001233DD">
        <w:rPr>
          <w:rFonts w:ascii="Lato" w:eastAsia="Times New Roman" w:hAnsi="Lato" w:cs="Times New Roman"/>
          <w:sz w:val="23"/>
          <w:szCs w:val="23"/>
          <w:lang w:eastAsia="it-IT"/>
        </w:rPr>
        <w:t>, sono depositati esclusivamente con le modalità previste dal comma 1 del medesimo articolo. Gli obblighi di pagamento del contributo unificato di cui all'</w:t>
      </w:r>
      <w:r w:rsidRPr="001233DD">
        <w:rPr>
          <w:rFonts w:ascii="Lato" w:eastAsia="Times New Roman" w:hAnsi="Lato" w:cs="Times New Roman"/>
          <w:i/>
          <w:iCs/>
          <w:sz w:val="23"/>
          <w:szCs w:val="23"/>
          <w:lang w:eastAsia="it-IT"/>
        </w:rPr>
        <w:t>articolo 14 del decreto del Presidente della Repubblica 30 maggio 2002, n. 115</w:t>
      </w:r>
      <w:r w:rsidRPr="001233DD">
        <w:rPr>
          <w:rFonts w:ascii="Lato" w:eastAsia="Times New Roman" w:hAnsi="Lato" w:cs="Times New Roman"/>
          <w:sz w:val="23"/>
          <w:szCs w:val="23"/>
          <w:lang w:eastAsia="it-IT"/>
        </w:rPr>
        <w:t>, nonché l'anticipazione forfettaria di cui all'</w:t>
      </w:r>
      <w:r w:rsidRPr="001233DD">
        <w:rPr>
          <w:rFonts w:ascii="Lato" w:eastAsia="Times New Roman" w:hAnsi="Lato" w:cs="Times New Roman"/>
          <w:i/>
          <w:iCs/>
          <w:sz w:val="23"/>
          <w:szCs w:val="23"/>
          <w:lang w:eastAsia="it-IT"/>
        </w:rPr>
        <w:t>articolo 30 del medesimo decreto</w:t>
      </w:r>
      <w:r w:rsidRPr="001233DD">
        <w:rPr>
          <w:rFonts w:ascii="Lato" w:eastAsia="Times New Roman" w:hAnsi="Lato" w:cs="Times New Roman"/>
          <w:sz w:val="23"/>
          <w:szCs w:val="23"/>
          <w:lang w:eastAsia="it-IT"/>
        </w:rPr>
        <w:t>, connessi al deposito degli atti con le modalità previste dal periodo precedente, sono assolti con sistemi telematici di pagamento anche tramite la piattaforma tecnologica di cui all'</w:t>
      </w:r>
      <w:r w:rsidRPr="001233DD">
        <w:rPr>
          <w:rFonts w:ascii="Lato" w:eastAsia="Times New Roman" w:hAnsi="Lato" w:cs="Times New Roman"/>
          <w:i/>
          <w:iCs/>
          <w:sz w:val="23"/>
          <w:szCs w:val="23"/>
          <w:lang w:eastAsia="it-IT"/>
        </w:rPr>
        <w:t>articolo 5, comma 2, del decreto legislativo 7 marzo 2005, n. 82</w:t>
      </w:r>
      <w:r w:rsidRPr="001233DD">
        <w:rPr>
          <w:rFonts w:ascii="Lato" w:eastAsia="Times New Roman" w:hAnsi="Lato" w:cs="Times New Roman"/>
          <w:sz w:val="23"/>
          <w:szCs w:val="23"/>
          <w:lang w:eastAsia="it-IT"/>
        </w:rPr>
        <w:t>.</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7.  Ferma l'applicazione dell'</w:t>
      </w:r>
      <w:r w:rsidRPr="001233DD">
        <w:rPr>
          <w:rFonts w:ascii="Lato" w:eastAsia="Times New Roman" w:hAnsi="Lato" w:cs="Times New Roman"/>
          <w:i/>
          <w:iCs/>
          <w:sz w:val="23"/>
          <w:szCs w:val="23"/>
          <w:lang w:eastAsia="it-IT"/>
        </w:rPr>
        <w:t>articolo 472, comma 3, del codice di procedura penale</w:t>
      </w:r>
      <w:r w:rsidRPr="001233DD">
        <w:rPr>
          <w:rFonts w:ascii="Lato" w:eastAsia="Times New Roman" w:hAnsi="Lato" w:cs="Times New Roman"/>
          <w:sz w:val="23"/>
          <w:szCs w:val="23"/>
          <w:lang w:eastAsia="it-IT"/>
        </w:rPr>
        <w:t xml:space="preserve">, a decorrere dal giorno successivo alla data di entrata in vigore del presente decreto e sino alla data del 31 maggio 2020, la partecipazione a qualsiasi udienza delle persone detenute, internate o in stato di custodia cautelare è assicurata, ove possibile, mediante videoconferenze o con collegamenti da remoto individuati e regolati </w:t>
      </w:r>
      <w:r w:rsidRPr="001233DD">
        <w:rPr>
          <w:rFonts w:ascii="Lato" w:eastAsia="Times New Roman" w:hAnsi="Lato" w:cs="Times New Roman"/>
          <w:sz w:val="23"/>
          <w:szCs w:val="23"/>
          <w:lang w:eastAsia="it-IT"/>
        </w:rPr>
        <w:lastRenderedPageBreak/>
        <w:t>con provvedimento del Direttore generale dei sistemi informativi e automatizzati del Ministero della giustizia, applicate, in quanto compatibili, le disposizioni di cui ai commi 3, 4 e 5 dell'</w:t>
      </w:r>
      <w:r w:rsidRPr="001233DD">
        <w:rPr>
          <w:rFonts w:ascii="Lato" w:eastAsia="Times New Roman" w:hAnsi="Lato" w:cs="Times New Roman"/>
          <w:i/>
          <w:iCs/>
          <w:sz w:val="23"/>
          <w:szCs w:val="23"/>
          <w:lang w:eastAsia="it-IT"/>
        </w:rPr>
        <w:t>articolo 146-bis del decreto legislativo 28 luglio 1989, n. 271</w:t>
      </w:r>
      <w:r w:rsidRPr="001233DD">
        <w:rPr>
          <w:rFonts w:ascii="Lato" w:eastAsia="Times New Roman" w:hAnsi="Lato" w:cs="Times New Roman"/>
          <w:sz w:val="23"/>
          <w:szCs w:val="23"/>
          <w:lang w:eastAsia="it-IT"/>
        </w:rPr>
        <w:t>.</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 xml:space="preserve">8.  Negli istituti penitenziari e negli istituti penali per minorenni, a decorrere dal giorno successivo alla data di entrata in vigore del presente decreto e sino alla data del 22 marzo 2020, i colloqui con i congiunti o con altre persone cui hanno diritto i condannati, gli internati e gli imputati a norma degli </w:t>
      </w:r>
      <w:r w:rsidRPr="001233DD">
        <w:rPr>
          <w:rFonts w:ascii="Lato" w:eastAsia="Times New Roman" w:hAnsi="Lato" w:cs="Times New Roman"/>
          <w:i/>
          <w:iCs/>
          <w:sz w:val="23"/>
          <w:szCs w:val="23"/>
          <w:lang w:eastAsia="it-IT"/>
        </w:rPr>
        <w:t>articoli 18 della legge 26 luglio 1975, n. 354</w:t>
      </w:r>
      <w:r w:rsidRPr="001233DD">
        <w:rPr>
          <w:rFonts w:ascii="Lato" w:eastAsia="Times New Roman" w:hAnsi="Lato" w:cs="Times New Roman"/>
          <w:sz w:val="23"/>
          <w:szCs w:val="23"/>
          <w:lang w:eastAsia="it-IT"/>
        </w:rPr>
        <w:t xml:space="preserve">, </w:t>
      </w:r>
      <w:r w:rsidRPr="001233DD">
        <w:rPr>
          <w:rFonts w:ascii="Lato" w:eastAsia="Times New Roman" w:hAnsi="Lato" w:cs="Times New Roman"/>
          <w:i/>
          <w:iCs/>
          <w:sz w:val="23"/>
          <w:szCs w:val="23"/>
          <w:lang w:eastAsia="it-IT"/>
        </w:rPr>
        <w:t>37 del decreto del Presidente della Repubblica 30 giugno 2000, n. 230</w:t>
      </w:r>
      <w:r w:rsidRPr="001233DD">
        <w:rPr>
          <w:rFonts w:ascii="Lato" w:eastAsia="Times New Roman" w:hAnsi="Lato" w:cs="Times New Roman"/>
          <w:sz w:val="23"/>
          <w:szCs w:val="23"/>
          <w:lang w:eastAsia="it-IT"/>
        </w:rPr>
        <w:t xml:space="preserve">, e </w:t>
      </w:r>
      <w:r w:rsidRPr="001233DD">
        <w:rPr>
          <w:rFonts w:ascii="Lato" w:eastAsia="Times New Roman" w:hAnsi="Lato" w:cs="Times New Roman"/>
          <w:i/>
          <w:iCs/>
          <w:sz w:val="23"/>
          <w:szCs w:val="23"/>
          <w:lang w:eastAsia="it-IT"/>
        </w:rPr>
        <w:t>19 del decreto legislativo 2 ottobre 2018, n. 121</w:t>
      </w:r>
      <w:r w:rsidRPr="001233DD">
        <w:rPr>
          <w:rFonts w:ascii="Lato" w:eastAsia="Times New Roman" w:hAnsi="Lato" w:cs="Times New Roman"/>
          <w:sz w:val="23"/>
          <w:szCs w:val="23"/>
          <w:lang w:eastAsia="it-IT"/>
        </w:rPr>
        <w:t>, sono svolti a distanza, mediante, ove possibile, apparecchiature e collegamenti di cui dispone l'amministrazione penitenziaria e minorile o mediante corrispondenza telefonica, che può essere autorizzata oltre i limiti di cui all'</w:t>
      </w:r>
      <w:r w:rsidRPr="001233DD">
        <w:rPr>
          <w:rFonts w:ascii="Lato" w:eastAsia="Times New Roman" w:hAnsi="Lato" w:cs="Times New Roman"/>
          <w:i/>
          <w:iCs/>
          <w:sz w:val="23"/>
          <w:szCs w:val="23"/>
          <w:lang w:eastAsia="it-IT"/>
        </w:rPr>
        <w:t>articolo 39, comma 2, del predetto decreto del Presidente della Repubblica n. 230 del 2000</w:t>
      </w:r>
      <w:r w:rsidRPr="001233DD">
        <w:rPr>
          <w:rFonts w:ascii="Lato" w:eastAsia="Times New Roman" w:hAnsi="Lato" w:cs="Times New Roman"/>
          <w:sz w:val="23"/>
          <w:szCs w:val="23"/>
          <w:lang w:eastAsia="it-IT"/>
        </w:rPr>
        <w:t xml:space="preserve"> e all'</w:t>
      </w:r>
      <w:r w:rsidRPr="001233DD">
        <w:rPr>
          <w:rFonts w:ascii="Lato" w:eastAsia="Times New Roman" w:hAnsi="Lato" w:cs="Times New Roman"/>
          <w:i/>
          <w:iCs/>
          <w:sz w:val="23"/>
          <w:szCs w:val="23"/>
          <w:lang w:eastAsia="it-IT"/>
        </w:rPr>
        <w:t>articolo 19, comma 1, del decreto legislativo n. 121 del 2018</w:t>
      </w:r>
      <w:r w:rsidRPr="001233DD">
        <w:rPr>
          <w:rFonts w:ascii="Lato" w:eastAsia="Times New Roman" w:hAnsi="Lato" w:cs="Times New Roman"/>
          <w:sz w:val="23"/>
          <w:szCs w:val="23"/>
          <w:lang w:eastAsia="it-IT"/>
        </w:rPr>
        <w:t>.</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9.  Tenuto conto delle evidenze rappresentate dall'autorità sanitaria, la magistratura di sorveglianza può sospendere, nel periodo compreso tra la data di entrata in vigore del presente decreto ed il 31 maggio 2020, la concessione dei permessi premio di cui all'</w:t>
      </w:r>
      <w:r w:rsidRPr="001233DD">
        <w:rPr>
          <w:rFonts w:ascii="Lato" w:eastAsia="Times New Roman" w:hAnsi="Lato" w:cs="Times New Roman"/>
          <w:i/>
          <w:iCs/>
          <w:sz w:val="23"/>
          <w:szCs w:val="23"/>
          <w:lang w:eastAsia="it-IT"/>
        </w:rPr>
        <w:t>articolo 30-ter della legge 26 luglio 1975, n. 354</w:t>
      </w:r>
      <w:r w:rsidRPr="001233DD">
        <w:rPr>
          <w:rFonts w:ascii="Lato" w:eastAsia="Times New Roman" w:hAnsi="Lato" w:cs="Times New Roman"/>
          <w:sz w:val="23"/>
          <w:szCs w:val="23"/>
          <w:lang w:eastAsia="it-IT"/>
        </w:rPr>
        <w:t>, del regime di semilibertà ai sensi dell'</w:t>
      </w:r>
      <w:r w:rsidRPr="001233DD">
        <w:rPr>
          <w:rFonts w:ascii="Lato" w:eastAsia="Times New Roman" w:hAnsi="Lato" w:cs="Times New Roman"/>
          <w:i/>
          <w:iCs/>
          <w:sz w:val="23"/>
          <w:szCs w:val="23"/>
          <w:lang w:eastAsia="it-IT"/>
        </w:rPr>
        <w:t>articolo 48 della medesima legge</w:t>
      </w:r>
      <w:r w:rsidRPr="001233DD">
        <w:rPr>
          <w:rFonts w:ascii="Lato" w:eastAsia="Times New Roman" w:hAnsi="Lato" w:cs="Times New Roman"/>
          <w:sz w:val="23"/>
          <w:szCs w:val="23"/>
          <w:lang w:eastAsia="it-IT"/>
        </w:rPr>
        <w:t xml:space="preserve"> e del </w:t>
      </w:r>
      <w:r w:rsidRPr="001233DD">
        <w:rPr>
          <w:rFonts w:ascii="Lato" w:eastAsia="Times New Roman" w:hAnsi="Lato" w:cs="Times New Roman"/>
          <w:i/>
          <w:iCs/>
          <w:sz w:val="23"/>
          <w:szCs w:val="23"/>
          <w:lang w:eastAsia="it-IT"/>
        </w:rPr>
        <w:t>decreto legislativo 2 ottobre 2018, n. 121</w:t>
      </w:r>
      <w:r w:rsidRPr="001233DD">
        <w:rPr>
          <w:rFonts w:ascii="Lato" w:eastAsia="Times New Roman" w:hAnsi="Lato" w:cs="Times New Roman"/>
          <w:sz w:val="23"/>
          <w:szCs w:val="23"/>
          <w:lang w:eastAsia="it-IT"/>
        </w:rPr>
        <w:t>.</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10.  In deroga al disposto dell'</w:t>
      </w:r>
      <w:r w:rsidRPr="001233DD">
        <w:rPr>
          <w:rFonts w:ascii="Lato" w:eastAsia="Times New Roman" w:hAnsi="Lato" w:cs="Times New Roman"/>
          <w:i/>
          <w:iCs/>
          <w:sz w:val="23"/>
          <w:szCs w:val="23"/>
          <w:lang w:eastAsia="it-IT"/>
        </w:rPr>
        <w:t>articolo 1, comma 1, del decreto legislativo 28 febbraio 2008, n. 35</w:t>
      </w:r>
      <w:r w:rsidRPr="001233DD">
        <w:rPr>
          <w:rFonts w:ascii="Lato" w:eastAsia="Times New Roman" w:hAnsi="Lato" w:cs="Times New Roman"/>
          <w:sz w:val="23"/>
          <w:szCs w:val="23"/>
          <w:lang w:eastAsia="it-IT"/>
        </w:rPr>
        <w:t>, per l'anno 2020 le elezioni per il rinnovo dei componenti del consiglio giudiziario e del consiglio direttivo della Corte di cassazione si svolgono la prima domenica e il lunedì successivo del mese di ottobre.</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11.  Le disposizioni del presente articolo, in quanto compatibili, si applicano altresì ai procedimenti relativi alle commissioni tributarie e alla magistratura militare.</w:t>
      </w:r>
    </w:p>
    <w:p w:rsidR="001233DD" w:rsidRPr="001233DD" w:rsidRDefault="001233DD" w:rsidP="001233DD">
      <w:pPr>
        <w:spacing w:after="0" w:line="240" w:lineRule="auto"/>
        <w:rPr>
          <w:rFonts w:ascii="Times New Roman" w:eastAsia="Times New Roman" w:hAnsi="Times New Roman" w:cs="Times New Roman"/>
          <w:sz w:val="24"/>
          <w:szCs w:val="24"/>
          <w:lang w:eastAsia="it-IT"/>
        </w:rPr>
      </w:pP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b/>
          <w:bCs/>
          <w:sz w:val="23"/>
          <w:szCs w:val="23"/>
          <w:lang w:eastAsia="it-IT"/>
        </w:rPr>
        <w:t>Art. 3.</w:t>
      </w:r>
      <w:r w:rsidRPr="001233DD">
        <w:rPr>
          <w:rFonts w:ascii="Lato" w:eastAsia="Times New Roman" w:hAnsi="Lato" w:cs="Times New Roman"/>
          <w:sz w:val="23"/>
          <w:szCs w:val="23"/>
          <w:lang w:eastAsia="it-IT"/>
        </w:rPr>
        <w:t xml:space="preserve">  </w:t>
      </w:r>
      <w:r w:rsidRPr="001233DD">
        <w:rPr>
          <w:rFonts w:ascii="Lato" w:eastAsia="Times New Roman" w:hAnsi="Lato" w:cs="Times New Roman"/>
          <w:i/>
          <w:iCs/>
          <w:sz w:val="23"/>
          <w:szCs w:val="23"/>
          <w:lang w:eastAsia="it-IT"/>
        </w:rPr>
        <w:t>Misure urgenti per contrastare l'emergenza epidemiologica da COVID-19 e contenerne gli effetti in materia di giustizia amministrativa</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1.  Le disposizioni di cui all'</w:t>
      </w:r>
      <w:r w:rsidRPr="001233DD">
        <w:rPr>
          <w:rFonts w:ascii="Lato" w:eastAsia="Times New Roman" w:hAnsi="Lato" w:cs="Times New Roman"/>
          <w:i/>
          <w:iCs/>
          <w:sz w:val="23"/>
          <w:szCs w:val="23"/>
          <w:lang w:eastAsia="it-IT"/>
        </w:rPr>
        <w:t>articolo 54, commi 2 e 3, del codice del processo amministrativo di cui al decreto legislativo 2 luglio 2010, n. 104</w:t>
      </w:r>
      <w:r w:rsidRPr="001233DD">
        <w:rPr>
          <w:rFonts w:ascii="Lato" w:eastAsia="Times New Roman" w:hAnsi="Lato" w:cs="Times New Roman"/>
          <w:sz w:val="23"/>
          <w:szCs w:val="23"/>
          <w:lang w:eastAsia="it-IT"/>
        </w:rPr>
        <w:t>, si applicano altresì dalla data di entrata in vigore del presente decreto e fino al 22 marzo 2020. A decorrere dalla data di entrata in vigore del presente decreto e sino al 22 marzo 2020, le udienze pubbliche e camerali dei procedimenti pendenti presso gli uffici della giustizia amministrativa sono rinviate d'ufficio a data successiva al 22 marzo 2020. I procedimenti cautelari, promossi o pendenti nel medesimo lasso di tempo, sono decisi, su richiesta anche di una sola delle parti, con il rito di cui all'</w:t>
      </w:r>
      <w:r w:rsidRPr="001233DD">
        <w:rPr>
          <w:rFonts w:ascii="Lato" w:eastAsia="Times New Roman" w:hAnsi="Lato" w:cs="Times New Roman"/>
          <w:i/>
          <w:iCs/>
          <w:sz w:val="23"/>
          <w:szCs w:val="23"/>
          <w:lang w:eastAsia="it-IT"/>
        </w:rPr>
        <w:t>articolo 56 del medesimo codice del processo amministrativo</w:t>
      </w:r>
      <w:r w:rsidRPr="001233DD">
        <w:rPr>
          <w:rFonts w:ascii="Lato" w:eastAsia="Times New Roman" w:hAnsi="Lato" w:cs="Times New Roman"/>
          <w:sz w:val="23"/>
          <w:szCs w:val="23"/>
          <w:lang w:eastAsia="it-IT"/>
        </w:rPr>
        <w:t xml:space="preserve"> e la relativa trattazione collegiale è fissata in data immediatamente successiva al 22 marzo 2020.</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2.  Per contrastare l'emergenza epidemiologica da COVID-19 e contenerne gli effetti negativi sullo svolgimento dell'attività giurisdizionale e consultiva, a decorrere dalla data di entrata in vigore del presente decreto e fino al 31 maggio 2020, i presidenti titolari delle sezioni del Consiglio di Stato, il presidente del Consiglio di giustizia amministrativa per la Regione siciliana e i presidenti dei tribunali amministrativi regionali e delle relative sezioni staccate, sentiti l'autorità sanitaria regionale e il Consiglio dell'Ordine degli Avvocati della città ove ha sede l'Ufficio, adottano, in coerenza con le eventuali disposizioni di coordinamento dettate dal Presidente del Consiglio di Stato o dal Segretariato generale della giustizia amministrativa per quanto di rispettiva competenza, le misure organizzative, anche incidenti sulla trattazione degli affari giudiziari e consultivi, necessarie per consentire il rispetto delle indicazioni igienico-sanitarie fornite dal Ministero della salute, anche d'intesa con le Regioni, e le prescrizioni di cui all'</w:t>
      </w:r>
      <w:r w:rsidRPr="001233DD">
        <w:rPr>
          <w:rFonts w:ascii="Lato" w:eastAsia="Times New Roman" w:hAnsi="Lato" w:cs="Times New Roman"/>
          <w:i/>
          <w:iCs/>
          <w:sz w:val="23"/>
          <w:szCs w:val="23"/>
          <w:lang w:eastAsia="it-IT"/>
        </w:rPr>
        <w:t>allegato 1 al decreto del Presidente del Consiglio dei ministri 8 marzo 2020</w:t>
      </w:r>
      <w:r w:rsidRPr="001233DD">
        <w:rPr>
          <w:rFonts w:ascii="Lato" w:eastAsia="Times New Roman" w:hAnsi="Lato" w:cs="Times New Roman"/>
          <w:sz w:val="23"/>
          <w:szCs w:val="23"/>
          <w:lang w:eastAsia="it-IT"/>
        </w:rPr>
        <w:t>, al fine di evitare assembramenti all'interno degli uffici giudiziari e contatti ravvicinati tra le persone.</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3.  I provvedimenti di cui al comma 2 possono prevedere una o più delle seguenti misure:</w:t>
      </w:r>
    </w:p>
    <w:p w:rsidR="001233DD" w:rsidRPr="001233DD" w:rsidRDefault="001233DD" w:rsidP="001233DD">
      <w:pPr>
        <w:spacing w:before="180" w:after="0" w:line="240" w:lineRule="auto"/>
        <w:ind w:firstLine="400"/>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lastRenderedPageBreak/>
        <w:t>a)  la limitazione dell'accesso agli uffici giudiziari ai soli soggetti che debbono svolgervi attività urgenti;</w:t>
      </w:r>
    </w:p>
    <w:p w:rsidR="001233DD" w:rsidRPr="001233DD" w:rsidRDefault="001233DD" w:rsidP="001233DD">
      <w:pPr>
        <w:spacing w:before="180" w:after="0" w:line="240" w:lineRule="auto"/>
        <w:ind w:firstLine="400"/>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b)  la limitazione dell'orario di apertura al pubblico degli uffici o, in ultima istanza e solo per i servizi che non erogano servizi urgenti, la sospensione dell'attività di apertura al pubblico;</w:t>
      </w:r>
    </w:p>
    <w:p w:rsidR="001233DD" w:rsidRPr="001233DD" w:rsidRDefault="001233DD" w:rsidP="001233DD">
      <w:pPr>
        <w:spacing w:before="180" w:after="0" w:line="240" w:lineRule="auto"/>
        <w:ind w:firstLine="400"/>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c)  la predisposizione di servizi di prenotazione per l'accesso ai servizi, anche tramite mezzi di comunicazione telefonica o telematica, curando che la convocazione degli utenti sia scaglionata per orari fissi, e adottando ogni misura ritenuta necessaria per evitare forme di assembramento;</w:t>
      </w:r>
    </w:p>
    <w:p w:rsidR="001233DD" w:rsidRPr="001233DD" w:rsidRDefault="001233DD" w:rsidP="001233DD">
      <w:pPr>
        <w:spacing w:before="180" w:after="0" w:line="240" w:lineRule="auto"/>
        <w:ind w:firstLine="400"/>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d)  l'adozione di linee guida vincolanti per la fissazione e la trattazione delle udienze, coerenti con le eventuali disposizioni dettate dal presidente del Consiglio di Stato;</w:t>
      </w:r>
    </w:p>
    <w:p w:rsidR="001233DD" w:rsidRPr="001233DD" w:rsidRDefault="001233DD" w:rsidP="001233DD">
      <w:pPr>
        <w:spacing w:before="180" w:after="0" w:line="240" w:lineRule="auto"/>
        <w:ind w:firstLine="400"/>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e)  il rinvio delle udienze a data successiva al 31 maggio 2020, assicurando in ogni caso la trattazione delle cause rinviate entro la data del 31 dicembre 2020 in aggiunta all'ordinario carico programmato delle udienze fissate e da fissare entro tale data, fatta eccezione per le udienze e camere di consiglio cautelari, elettorali, e per le cause rispetto alle quali la ritardata trattazione potrebbe produrre grave pregiudizio alle parti; in tal caso, la dichiarazione di urgenza è fatta dai presidenti di cui al comma 2 con decreto non impugnabile.</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 xml:space="preserve">4.  Fino al 31 maggio 2020, in deroga alle previsioni del codice del processo amministrativo di cui al </w:t>
      </w:r>
      <w:r w:rsidRPr="001233DD">
        <w:rPr>
          <w:rFonts w:ascii="Lato" w:eastAsia="Times New Roman" w:hAnsi="Lato" w:cs="Times New Roman"/>
          <w:i/>
          <w:iCs/>
          <w:sz w:val="23"/>
          <w:szCs w:val="23"/>
          <w:lang w:eastAsia="it-IT"/>
        </w:rPr>
        <w:t>decreto legislativo 2 luglio 2010, n. 104</w:t>
      </w:r>
      <w:r w:rsidRPr="001233DD">
        <w:rPr>
          <w:rFonts w:ascii="Lato" w:eastAsia="Times New Roman" w:hAnsi="Lato" w:cs="Times New Roman"/>
          <w:sz w:val="23"/>
          <w:szCs w:val="23"/>
          <w:lang w:eastAsia="it-IT"/>
        </w:rPr>
        <w:t>, tutte le controversie fissate per la trattazione, sia in udienza camerale sia in udienza pubblica, passano in decisione sulla base degli atti, salvo che almeno una delle parti abbia chiesto la discussione in udienza camerale o in udienza pubblica con apposita istanza da notificare alle altre parti costituite e da depositare almeno due giorni liberi prima della data fissata per la trattazione; anche nei casi in cui non sia stata richiesta la discussione, i difensori sono comunque considerati presenti a tutti gli effetti.</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 xml:space="preserve">5.  Nel caso in cui sia stata chiesta la discussione ai sensi del comma 4, i presidenti di cui al comma 2, possono, in ragione motivata della situazione concreta di emergenza sanitaria e in deroga a quanto previsto dal codice del processo amministrativo di cui al </w:t>
      </w:r>
      <w:r w:rsidRPr="001233DD">
        <w:rPr>
          <w:rFonts w:ascii="Lato" w:eastAsia="Times New Roman" w:hAnsi="Lato" w:cs="Times New Roman"/>
          <w:i/>
          <w:iCs/>
          <w:sz w:val="23"/>
          <w:szCs w:val="23"/>
          <w:lang w:eastAsia="it-IT"/>
        </w:rPr>
        <w:t>decreto legislativo 2 luglio 2010, n. 104</w:t>
      </w:r>
      <w:r w:rsidRPr="001233DD">
        <w:rPr>
          <w:rFonts w:ascii="Lato" w:eastAsia="Times New Roman" w:hAnsi="Lato" w:cs="Times New Roman"/>
          <w:sz w:val="23"/>
          <w:szCs w:val="23"/>
          <w:lang w:eastAsia="it-IT"/>
        </w:rPr>
        <w:t>, consentire lo svolgimento delle udienze pubbliche e camerali che non richiedono la presenza di soggetti diversi dai difensori delle parti mediante collegamenti da remoto con modalità idonee a salvaguardare il contraddittorio e l'effettiva partecipazione dei difensori alla trattazione dell'udienza, assicurando in ogni caso la sicurezza e la funzionalità del sistema informatico della giustizia amministrativa e dei relativi apparati e comunque nei limiti delle risorse attualmente assegnate ai singoli uffici. In tal caso è assicurato congruo avviso dell'ora e delle modalità di collegamento. Si dà atto a verbale delle modalità con cui si accerta l'identità dei soggetti partecipanti e la libera volontà delle parti. Il luogo da cui si collegano magistrati, personale addetto e difensori delle parti è considerato aula di udienza a tutti gli effetti di legge. Di tutte le operazioni è redatto processo verbale.</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6.  Fino al 31 maggio 2020 le udienze pubbliche sono celebrate a porte chiuse, in deroga all'</w:t>
      </w:r>
      <w:r w:rsidRPr="001233DD">
        <w:rPr>
          <w:rFonts w:ascii="Lato" w:eastAsia="Times New Roman" w:hAnsi="Lato" w:cs="Times New Roman"/>
          <w:i/>
          <w:iCs/>
          <w:sz w:val="23"/>
          <w:szCs w:val="23"/>
          <w:lang w:eastAsia="it-IT"/>
        </w:rPr>
        <w:t>articolo 87, comma 1, del codice del processo amministrativo di cui al decreto legislativo 2 luglio 2010, n. 104</w:t>
      </w:r>
      <w:r w:rsidRPr="001233DD">
        <w:rPr>
          <w:rFonts w:ascii="Lato" w:eastAsia="Times New Roman" w:hAnsi="Lato" w:cs="Times New Roman"/>
          <w:sz w:val="23"/>
          <w:szCs w:val="23"/>
          <w:lang w:eastAsia="it-IT"/>
        </w:rPr>
        <w:t>.</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7.  I provvedimenti di cui ai commi 2 e 3 che determinino la decadenza delle parti da facoltà processuali implicano la rimessione in termini delle parti stesse.</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8.  L'adozione dei provvedimenti di cui ai commi 2 e 3 che impedisce l'esercizio di diritti costituisce causa di sospensione della prescrizione e della decadenza.</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9.  Ai fini del computo di cui all'</w:t>
      </w:r>
      <w:r w:rsidRPr="001233DD">
        <w:rPr>
          <w:rFonts w:ascii="Lato" w:eastAsia="Times New Roman" w:hAnsi="Lato" w:cs="Times New Roman"/>
          <w:i/>
          <w:iCs/>
          <w:sz w:val="23"/>
          <w:szCs w:val="23"/>
          <w:lang w:eastAsia="it-IT"/>
        </w:rPr>
        <w:t>articolo 2 della legge 24 marzo 2001, n. 89</w:t>
      </w:r>
      <w:r w:rsidRPr="001233DD">
        <w:rPr>
          <w:rFonts w:ascii="Lato" w:eastAsia="Times New Roman" w:hAnsi="Lato" w:cs="Times New Roman"/>
          <w:sz w:val="23"/>
          <w:szCs w:val="23"/>
          <w:lang w:eastAsia="it-IT"/>
        </w:rPr>
        <w:t>, nei procedimenti rinviati a norma del presente articolo non si tiene conto del periodo compreso tra la data di entrata in vigore del presente decreto e la data del 31 maggio 2020.</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10.  All'</w:t>
      </w:r>
      <w:r w:rsidRPr="001233DD">
        <w:rPr>
          <w:rFonts w:ascii="Lato" w:eastAsia="Times New Roman" w:hAnsi="Lato" w:cs="Times New Roman"/>
          <w:i/>
          <w:iCs/>
          <w:sz w:val="23"/>
          <w:szCs w:val="23"/>
          <w:lang w:eastAsia="it-IT"/>
        </w:rPr>
        <w:t>articolo 7, comma 4, del decreto-legge 31 agosto 2016, n. 168</w:t>
      </w:r>
      <w:r w:rsidRPr="001233DD">
        <w:rPr>
          <w:rFonts w:ascii="Lato" w:eastAsia="Times New Roman" w:hAnsi="Lato" w:cs="Times New Roman"/>
          <w:sz w:val="23"/>
          <w:szCs w:val="23"/>
          <w:lang w:eastAsia="it-IT"/>
        </w:rPr>
        <w:t xml:space="preserve">, convertito, con modificazioni, dalla </w:t>
      </w:r>
      <w:r w:rsidRPr="001233DD">
        <w:rPr>
          <w:rFonts w:ascii="Lato" w:eastAsia="Times New Roman" w:hAnsi="Lato" w:cs="Times New Roman"/>
          <w:i/>
          <w:iCs/>
          <w:sz w:val="23"/>
          <w:szCs w:val="23"/>
          <w:lang w:eastAsia="it-IT"/>
        </w:rPr>
        <w:t>legge 25 ottobre 2016, n. 197</w:t>
      </w:r>
      <w:r w:rsidRPr="001233DD">
        <w:rPr>
          <w:rFonts w:ascii="Lato" w:eastAsia="Times New Roman" w:hAnsi="Lato" w:cs="Times New Roman"/>
          <w:sz w:val="23"/>
          <w:szCs w:val="23"/>
          <w:lang w:eastAsia="it-IT"/>
        </w:rPr>
        <w:t xml:space="preserve">, dopo le parole «deve essere depositata», sono inserite le seguenti: «, </w:t>
      </w:r>
      <w:r w:rsidRPr="001233DD">
        <w:rPr>
          <w:rFonts w:ascii="Lato" w:eastAsia="Times New Roman" w:hAnsi="Lato" w:cs="Times New Roman"/>
          <w:sz w:val="23"/>
          <w:szCs w:val="23"/>
          <w:lang w:eastAsia="it-IT"/>
        </w:rPr>
        <w:lastRenderedPageBreak/>
        <w:t xml:space="preserve">anche a mezzo del servizio postale,». Dalla data di entrata in vigore del presente decreto e fino al 31 maggio 2020 è sospeso l'obbligo di cui al predetto </w:t>
      </w:r>
      <w:r w:rsidRPr="001233DD">
        <w:rPr>
          <w:rFonts w:ascii="Lato" w:eastAsia="Times New Roman" w:hAnsi="Lato" w:cs="Times New Roman"/>
          <w:i/>
          <w:iCs/>
          <w:sz w:val="23"/>
          <w:szCs w:val="23"/>
          <w:lang w:eastAsia="it-IT"/>
        </w:rPr>
        <w:t>articolo 7</w:t>
      </w:r>
      <w:r w:rsidRPr="001233DD">
        <w:rPr>
          <w:rFonts w:ascii="Lato" w:eastAsia="Times New Roman" w:hAnsi="Lato" w:cs="Times New Roman"/>
          <w:sz w:val="23"/>
          <w:szCs w:val="23"/>
          <w:lang w:eastAsia="it-IT"/>
        </w:rPr>
        <w:t>, comma 4.</w:t>
      </w:r>
    </w:p>
    <w:p w:rsidR="001233DD" w:rsidRPr="001233DD" w:rsidRDefault="001233DD" w:rsidP="001233DD">
      <w:pPr>
        <w:spacing w:after="0" w:line="240" w:lineRule="auto"/>
        <w:rPr>
          <w:rFonts w:ascii="Times New Roman" w:eastAsia="Times New Roman" w:hAnsi="Times New Roman" w:cs="Times New Roman"/>
          <w:sz w:val="24"/>
          <w:szCs w:val="24"/>
          <w:lang w:eastAsia="it-IT"/>
        </w:rPr>
      </w:pP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b/>
          <w:bCs/>
          <w:sz w:val="23"/>
          <w:szCs w:val="23"/>
          <w:lang w:eastAsia="it-IT"/>
        </w:rPr>
        <w:t>Art. 4.</w:t>
      </w:r>
      <w:r w:rsidRPr="001233DD">
        <w:rPr>
          <w:rFonts w:ascii="Lato" w:eastAsia="Times New Roman" w:hAnsi="Lato" w:cs="Times New Roman"/>
          <w:sz w:val="23"/>
          <w:szCs w:val="23"/>
          <w:lang w:eastAsia="it-IT"/>
        </w:rPr>
        <w:t xml:space="preserve">  </w:t>
      </w:r>
      <w:r w:rsidRPr="001233DD">
        <w:rPr>
          <w:rFonts w:ascii="Lato" w:eastAsia="Times New Roman" w:hAnsi="Lato" w:cs="Times New Roman"/>
          <w:i/>
          <w:iCs/>
          <w:sz w:val="23"/>
          <w:szCs w:val="23"/>
          <w:lang w:eastAsia="it-IT"/>
        </w:rPr>
        <w:t>Misure urgenti per contrastare l'emergenza epidemiologica da COVID-19 e contenerne gli effetti in materia di giustizia contabile</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1.  Le disposizioni di cui all'articolo 1 si applicano, in quanto compatibili, anche a tutte le funzioni della Corte dei conti.</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 xml:space="preserve">2.  Ferma l'applicazione delle previsioni di cui al </w:t>
      </w:r>
      <w:r w:rsidRPr="001233DD">
        <w:rPr>
          <w:rFonts w:ascii="Lato" w:eastAsia="Times New Roman" w:hAnsi="Lato" w:cs="Times New Roman"/>
          <w:i/>
          <w:iCs/>
          <w:sz w:val="23"/>
          <w:szCs w:val="23"/>
          <w:lang w:eastAsia="it-IT"/>
        </w:rPr>
        <w:t>decreto-legge 2 marzo 2020, n. 9</w:t>
      </w:r>
      <w:r w:rsidRPr="001233DD">
        <w:rPr>
          <w:rFonts w:ascii="Lato" w:eastAsia="Times New Roman" w:hAnsi="Lato" w:cs="Times New Roman"/>
          <w:sz w:val="23"/>
          <w:szCs w:val="23"/>
          <w:lang w:eastAsia="it-IT"/>
        </w:rPr>
        <w:t>, per contrastare l'emergenza epidemiologica da COVID-19 e contenerne gli effetti negativi sullo svolgimento delle attività istituzionali della Corte dei conti, a decorrere dal giorno successivo alla data di entrata in vigore del presente decreto e fino al 31 maggio 2020 i vertici degli uffici territoriali e centrali, sentita l'autorità sanitaria regionale e, per le attività giurisdizionali, il Consiglio dell'ordine degli avvocati della città ove ha sede l'Ufficio, adottano le misure organizzative, anche relative alla trattazione degli affari, necessarie per consentire il rispetto delle indicazioni igienico-sanitarie fornite dal Ministero della salute, anche d'intesa con le Regioni, dal Dipartimento della funzione pubblica della Presidenza del Consiglio dei ministri, dal Presidente o dal Segretario generale della Corte dei conti e delle prescrizioni di cui all'</w:t>
      </w:r>
      <w:r w:rsidRPr="001233DD">
        <w:rPr>
          <w:rFonts w:ascii="Lato" w:eastAsia="Times New Roman" w:hAnsi="Lato" w:cs="Times New Roman"/>
          <w:i/>
          <w:iCs/>
          <w:sz w:val="23"/>
          <w:szCs w:val="23"/>
          <w:lang w:eastAsia="it-IT"/>
        </w:rPr>
        <w:t>allegato 1 al decreto del Presidente del Consiglio dei ministri 8 marzo 2020</w:t>
      </w:r>
      <w:r w:rsidRPr="001233DD">
        <w:rPr>
          <w:rFonts w:ascii="Lato" w:eastAsia="Times New Roman" w:hAnsi="Lato" w:cs="Times New Roman"/>
          <w:sz w:val="23"/>
          <w:szCs w:val="23"/>
          <w:lang w:eastAsia="it-IT"/>
        </w:rPr>
        <w:t>, al fine di evitare assembramenti all'interno degli uffici e contatti ravvicinati tra le persone. Per gli uffici territoriali, le misure sono adottate sentito il Segretario generale e il dirigente del servizio amministrativo unico regionale competente.</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3.  Per assicurare le finalità di cui al comma 2, i vertici degli uffici possono adottare le seguenti misure:</w:t>
      </w:r>
    </w:p>
    <w:p w:rsidR="001233DD" w:rsidRPr="001233DD" w:rsidRDefault="001233DD" w:rsidP="001233DD">
      <w:pPr>
        <w:spacing w:before="180" w:after="0" w:line="240" w:lineRule="auto"/>
        <w:ind w:firstLine="400"/>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a)  la limitazione dell'accesso del pubblico agli uffici, garantendo comunque l'accesso alle persone che debbono svolgervi attività urgenti;</w:t>
      </w:r>
    </w:p>
    <w:p w:rsidR="001233DD" w:rsidRPr="001233DD" w:rsidRDefault="001233DD" w:rsidP="001233DD">
      <w:pPr>
        <w:spacing w:before="180" w:after="0" w:line="240" w:lineRule="auto"/>
        <w:ind w:firstLine="400"/>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b)  la limitazione, sentito il dirigente competente, dell'orario di apertura al pubblico degli uffici ovvero, in via residuale e solo per gli uffici che non erogano servizi urgenti, la chiusura al pubblico;</w:t>
      </w:r>
    </w:p>
    <w:p w:rsidR="001233DD" w:rsidRPr="001233DD" w:rsidRDefault="001233DD" w:rsidP="001233DD">
      <w:pPr>
        <w:spacing w:before="180" w:after="0" w:line="240" w:lineRule="auto"/>
        <w:ind w:firstLine="400"/>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c)  la predisposizione di servizi di prenotazione per l'accesso ai servizi, anche tramite mezzi di comunicazione telefonica o telematica, curando che la convocazione degli utenti sia scaglionata per orari fissi, nonché l'adozione di ogni misura ritenuta necessaria per evitare forme di assembramento;</w:t>
      </w:r>
    </w:p>
    <w:p w:rsidR="001233DD" w:rsidRPr="001233DD" w:rsidRDefault="001233DD" w:rsidP="001233DD">
      <w:pPr>
        <w:spacing w:before="180" w:after="0" w:line="240" w:lineRule="auto"/>
        <w:ind w:firstLine="400"/>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d)  l'adozione di linee guida vincolanti per la trattazione delle udienze o delle adunanze;</w:t>
      </w:r>
    </w:p>
    <w:p w:rsidR="001233DD" w:rsidRPr="001233DD" w:rsidRDefault="001233DD" w:rsidP="001233DD">
      <w:pPr>
        <w:spacing w:before="180" w:after="0" w:line="240" w:lineRule="auto"/>
        <w:ind w:firstLine="400"/>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e)  la celebrazione a porte chiuse delle udienze o adunanze pubbliche del controllo;</w:t>
      </w:r>
    </w:p>
    <w:p w:rsidR="001233DD" w:rsidRPr="001233DD" w:rsidRDefault="001233DD" w:rsidP="001233DD">
      <w:pPr>
        <w:spacing w:before="180" w:after="0" w:line="240" w:lineRule="auto"/>
        <w:ind w:firstLine="400"/>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f)  la previsione dello svolgimento delle udienze che non richiedono la presenza di soggetti diversi dai difensori delle parti ovvero delle adunanze che non richiedono la presenza di soggetti diversi dai rappresentati delle amministrazioni mediante collegamenti da remoto con modalità idonee a salvaguardare il contraddittorio e l'effettiva partecipazione all'udienza ovvero all'adunanza del controllo, anche utilizzando strutture informatiche messe a disposizione da soggetti terzi o con ogni mezzo di comunicazione che, con attestazione all'interno del verbale, consenta l'effettiva partecipazione degli interessati;</w:t>
      </w:r>
    </w:p>
    <w:p w:rsidR="001233DD" w:rsidRPr="001233DD" w:rsidRDefault="001233DD" w:rsidP="001233DD">
      <w:pPr>
        <w:spacing w:before="180" w:after="0" w:line="240" w:lineRule="auto"/>
        <w:ind w:firstLine="400"/>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g)  il rinvio d'ufficio delle udienze e delle adunanze del controllo a data successiva al 31 maggio 2020, salvo che per le cause rispetto alle quali la ritardata trattazione potrebbe produrre grave pregiudizio alle parti.</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4.  In caso di rinvio, con riferimento a tutte le attività giurisdizionali, inquirenti, consultive e di controllo intestate alla Corte dei conti, i termini in corso alla data di entrata in vigore del presente decreto e che scadono entro il 31 maggio 2020, sono sospesi e riprendono a decorrere dal 1° giugno 2020.</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lastRenderedPageBreak/>
        <w:t>5.  Ai fini del computo di cui all'</w:t>
      </w:r>
      <w:r w:rsidRPr="001233DD">
        <w:rPr>
          <w:rFonts w:ascii="Lato" w:eastAsia="Times New Roman" w:hAnsi="Lato" w:cs="Times New Roman"/>
          <w:i/>
          <w:iCs/>
          <w:sz w:val="23"/>
          <w:szCs w:val="23"/>
          <w:lang w:eastAsia="it-IT"/>
        </w:rPr>
        <w:t>articolo 2 della legge 24 marzo 2001, n. 89</w:t>
      </w:r>
      <w:r w:rsidRPr="001233DD">
        <w:rPr>
          <w:rFonts w:ascii="Lato" w:eastAsia="Times New Roman" w:hAnsi="Lato" w:cs="Times New Roman"/>
          <w:sz w:val="23"/>
          <w:szCs w:val="23"/>
          <w:lang w:eastAsia="it-IT"/>
        </w:rPr>
        <w:t>, nei procedimenti nei quali le udienze sono rinviate a norma del presente articolo non si tiene conto del periodo compreso dal giorno successivo alla data di entrata in vigore del presente decreto e la data del 31 maggio 2020.</w:t>
      </w:r>
    </w:p>
    <w:p w:rsidR="001233DD" w:rsidRPr="001233DD" w:rsidRDefault="001233DD" w:rsidP="001233DD">
      <w:pPr>
        <w:spacing w:after="0" w:line="240" w:lineRule="auto"/>
        <w:rPr>
          <w:rFonts w:ascii="Times New Roman" w:eastAsia="Times New Roman" w:hAnsi="Times New Roman" w:cs="Times New Roman"/>
          <w:sz w:val="24"/>
          <w:szCs w:val="24"/>
          <w:lang w:eastAsia="it-IT"/>
        </w:rPr>
      </w:pP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b/>
          <w:bCs/>
          <w:sz w:val="23"/>
          <w:szCs w:val="23"/>
          <w:lang w:eastAsia="it-IT"/>
        </w:rPr>
        <w:t>Art. 5.</w:t>
      </w:r>
      <w:r w:rsidRPr="001233DD">
        <w:rPr>
          <w:rFonts w:ascii="Lato" w:eastAsia="Times New Roman" w:hAnsi="Lato" w:cs="Times New Roman"/>
          <w:sz w:val="23"/>
          <w:szCs w:val="23"/>
          <w:lang w:eastAsia="it-IT"/>
        </w:rPr>
        <w:t xml:space="preserve">  </w:t>
      </w:r>
      <w:r w:rsidRPr="001233DD">
        <w:rPr>
          <w:rFonts w:ascii="Lato" w:eastAsia="Times New Roman" w:hAnsi="Lato" w:cs="Times New Roman"/>
          <w:i/>
          <w:iCs/>
          <w:sz w:val="23"/>
          <w:szCs w:val="23"/>
          <w:lang w:eastAsia="it-IT"/>
        </w:rPr>
        <w:t>Clausola di invarianza finanziaria</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1.  Dall'attuazione delle disposizioni contenute nel presente decreto non devono derivare nuovi e maggiori oneri a carico della finanza pubblica. Le amministrazioni provvedono ai relativi adempimenti nell'ambito delle risorse umane, strumentali e finanziarie disponibili a legislazione vigente.</w:t>
      </w:r>
    </w:p>
    <w:p w:rsidR="001233DD" w:rsidRPr="001233DD" w:rsidRDefault="001233DD" w:rsidP="001233DD">
      <w:pPr>
        <w:spacing w:after="0" w:line="240" w:lineRule="auto"/>
        <w:rPr>
          <w:rFonts w:ascii="Times New Roman" w:eastAsia="Times New Roman" w:hAnsi="Times New Roman" w:cs="Times New Roman"/>
          <w:sz w:val="24"/>
          <w:szCs w:val="24"/>
          <w:lang w:eastAsia="it-IT"/>
        </w:rPr>
      </w:pP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b/>
          <w:bCs/>
          <w:sz w:val="23"/>
          <w:szCs w:val="23"/>
          <w:lang w:eastAsia="it-IT"/>
        </w:rPr>
        <w:t>Art. 6.</w:t>
      </w:r>
      <w:r w:rsidRPr="001233DD">
        <w:rPr>
          <w:rFonts w:ascii="Lato" w:eastAsia="Times New Roman" w:hAnsi="Lato" w:cs="Times New Roman"/>
          <w:sz w:val="23"/>
          <w:szCs w:val="23"/>
          <w:lang w:eastAsia="it-IT"/>
        </w:rPr>
        <w:t xml:space="preserve">  </w:t>
      </w:r>
      <w:r w:rsidRPr="001233DD">
        <w:rPr>
          <w:rFonts w:ascii="Lato" w:eastAsia="Times New Roman" w:hAnsi="Lato" w:cs="Times New Roman"/>
          <w:i/>
          <w:iCs/>
          <w:sz w:val="23"/>
          <w:szCs w:val="23"/>
          <w:lang w:eastAsia="it-IT"/>
        </w:rPr>
        <w:t>Entrata in vigore</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1.  Il presente decreto entra in vigore il giorno stesso della sua pubblicazione nella Gazzetta Ufficiale della Repubblica italiana e sarà presentato alle Camere per la conversione in legge.</w:t>
      </w:r>
    </w:p>
    <w:p w:rsidR="001233DD" w:rsidRPr="001233DD" w:rsidRDefault="001233DD" w:rsidP="001233DD">
      <w:pPr>
        <w:spacing w:before="180" w:after="0" w:line="240" w:lineRule="auto"/>
        <w:jc w:val="both"/>
        <w:rPr>
          <w:rFonts w:ascii="Times New Roman" w:eastAsia="Times New Roman" w:hAnsi="Times New Roman" w:cs="Times New Roman"/>
          <w:sz w:val="24"/>
          <w:szCs w:val="24"/>
          <w:lang w:eastAsia="it-IT"/>
        </w:rPr>
      </w:pPr>
      <w:r w:rsidRPr="001233DD">
        <w:rPr>
          <w:rFonts w:ascii="Lato" w:eastAsia="Times New Roman" w:hAnsi="Lato" w:cs="Times New Roman"/>
          <w:sz w:val="23"/>
          <w:szCs w:val="23"/>
          <w:lang w:eastAsia="it-IT"/>
        </w:rPr>
        <w:t>Il presente decreto, munito del sigillo dello Stato, sarà inserito nella Raccolta ufficiale degli atti normativi della Repubblica italiana. E' fatto obbligo a chiunque spetti di osservarlo e di farlo osservare.</w:t>
      </w:r>
    </w:p>
    <w:p w:rsidR="00405795" w:rsidRDefault="00405795"/>
    <w:sectPr w:rsidR="004057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55"/>
    <w:rsid w:val="001233DD"/>
    <w:rsid w:val="00167A55"/>
    <w:rsid w:val="004057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233D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233D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3731</Words>
  <Characters>21272</Characters>
  <Application>Microsoft Office Word</Application>
  <DocSecurity>0</DocSecurity>
  <Lines>177</Lines>
  <Paragraphs>49</Paragraphs>
  <ScaleCrop>false</ScaleCrop>
  <Company/>
  <LinksUpToDate>false</LinksUpToDate>
  <CharactersWithSpaces>24954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Gnes</dc:creator>
  <cp:keywords/>
  <dc:description/>
  <cp:lastModifiedBy>Matteo Gnes</cp:lastModifiedBy>
  <cp:revision>3</cp:revision>
  <dcterms:created xsi:type="dcterms:W3CDTF">2020-04-18T15:40:00Z</dcterms:created>
  <dcterms:modified xsi:type="dcterms:W3CDTF">2020-04-18T15:43:00Z</dcterms:modified>
</cp:coreProperties>
</file>